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043" w:rsidRPr="00537AD5" w:rsidRDefault="00836043" w:rsidP="00836043">
      <w:pPr>
        <w:pStyle w:val="Heading1"/>
        <w:spacing w:before="120" w:after="120" w:line="360" w:lineRule="auto"/>
        <w:jc w:val="both"/>
        <w:rPr>
          <w:rFonts w:ascii="Times New Roman" w:hAnsi="Times New Roman" w:cs="Times New Roman"/>
          <w:b w:val="0"/>
          <w:color w:val="auto"/>
          <w:lang w:val="pt-BR" w:eastAsia="zh-CN"/>
        </w:rPr>
      </w:pPr>
      <w:r w:rsidRPr="00537AD5">
        <w:rPr>
          <w:rFonts w:ascii="Times New Roman" w:hAnsi="Times New Roman" w:cs="Times New Roman"/>
          <w:color w:val="auto"/>
          <w:sz w:val="24"/>
          <w:szCs w:val="24"/>
          <w:lang w:val="pt-BR"/>
        </w:rPr>
        <w:t>CHUNG ĐỈNH VĂN (鐘鼎文),</w:t>
      </w:r>
      <w:r w:rsidRPr="00537AD5">
        <w:rPr>
          <w:rFonts w:ascii="Times New Roman" w:hAnsi="Times New Roman" w:cs="Times New Roman"/>
          <w:b w:val="0"/>
          <w:color w:val="auto"/>
          <w:lang w:val="pt-BR"/>
        </w:rPr>
        <w:t xml:space="preserve"> </w:t>
      </w:r>
      <w:r w:rsidRPr="00537AD5">
        <w:rPr>
          <w:rFonts w:ascii="Times New Roman" w:hAnsi="Times New Roman" w:cs="Times New Roman"/>
          <w:b w:val="0"/>
          <w:color w:val="auto"/>
          <w:lang w:val="pt-BR" w:eastAsia="zh-CN"/>
        </w:rPr>
        <w:t>tự thể chữ Hán sau giai đoạn giáp cốt văn, được đ</w:t>
      </w:r>
      <w:r w:rsidRPr="00537AD5">
        <w:rPr>
          <w:rFonts w:ascii="Times New Roman" w:eastAsia="SimSun" w:hAnsi="Times New Roman" w:cs="Times New Roman"/>
          <w:b w:val="0"/>
          <w:color w:val="auto"/>
          <w:lang w:val="pt-BR" w:eastAsia="zh-CN"/>
        </w:rPr>
        <w:t>ú</w:t>
      </w:r>
      <w:r w:rsidRPr="00537AD5">
        <w:rPr>
          <w:rFonts w:ascii="Times New Roman" w:hAnsi="Times New Roman" w:cs="Times New Roman"/>
          <w:b w:val="0"/>
          <w:color w:val="auto"/>
          <w:lang w:val="pt-BR" w:eastAsia="zh-CN"/>
        </w:rPr>
        <w:t>c hoặc khắc trên đồ đồng thau, xuất hiện từ giữa đời Thương, phổ biến thời Tây Chu, còn gọi kim văn 金文, cát kim văn tự 吉金文字, thanh đồng khí minh văn 青銅器銘文, di khí khoản chí 彝器款識, minh văn 銘文 [2, tr. 146;</w:t>
      </w:r>
      <w:r w:rsidRPr="00537AD5" w:rsidDel="00B15345">
        <w:rPr>
          <w:rFonts w:ascii="Times New Roman" w:hAnsi="Times New Roman" w:cs="Times New Roman"/>
          <w:b w:val="0"/>
          <w:color w:val="auto"/>
          <w:lang w:val="pt-BR" w:eastAsia="zh-CN"/>
        </w:rPr>
        <w:t xml:space="preserve"> </w:t>
      </w:r>
      <w:r w:rsidRPr="00537AD5">
        <w:rPr>
          <w:rFonts w:ascii="Times New Roman" w:hAnsi="Times New Roman" w:cs="Times New Roman"/>
          <w:b w:val="0"/>
          <w:color w:val="auto"/>
          <w:lang w:val="pt-BR" w:eastAsia="zh-CN"/>
        </w:rPr>
        <w:t xml:space="preserve">6, tr. 269]. </w:t>
      </w:r>
    </w:p>
    <w:p w:rsidR="00836043" w:rsidRPr="00537AD5" w:rsidRDefault="00836043" w:rsidP="00836043">
      <w:pPr>
        <w:spacing w:after="120" w:line="360" w:lineRule="auto"/>
        <w:ind w:firstLine="567"/>
        <w:jc w:val="both"/>
        <w:rPr>
          <w:rFonts w:eastAsiaTheme="majorEastAsia"/>
          <w:lang w:val="pt-BR" w:eastAsia="zh-CN"/>
        </w:rPr>
      </w:pPr>
      <w:r w:rsidRPr="00537AD5">
        <w:rPr>
          <w:rFonts w:eastAsiaTheme="majorEastAsia"/>
          <w:lang w:val="pt-BR" w:eastAsia="zh-CN"/>
        </w:rPr>
        <w:t>Đồ đồng thau ở Trung Quốc có hai loại lớn: đồ tế lễ (chủ yếu là  đỉnh  鼎) và nhạc cụ (chủ yếu là chung 鐘 - chuông), nên “chung đỉnh” 鐘鼎chỉ chung đồ đồng thau, văn tự khắc trên đ</w:t>
      </w:r>
      <w:r w:rsidRPr="00537AD5">
        <w:rPr>
          <w:rFonts w:eastAsia="SimSun"/>
          <w:lang w:val="pt-BR" w:eastAsia="zh-CN"/>
        </w:rPr>
        <w:t>ó</w:t>
      </w:r>
      <w:r w:rsidRPr="00537AD5">
        <w:rPr>
          <w:rFonts w:eastAsiaTheme="majorEastAsia"/>
          <w:lang w:val="pt-BR" w:eastAsia="zh-CN"/>
        </w:rPr>
        <w:t xml:space="preserve"> gọi là “CĐV</w:t>
      </w:r>
      <w:r w:rsidRPr="00537AD5">
        <w:rPr>
          <w:rFonts w:eastAsia="SimSun"/>
          <w:lang w:val="pt-BR" w:eastAsia="zh-CN"/>
        </w:rPr>
        <w:t>”</w:t>
      </w:r>
      <w:r w:rsidRPr="00537AD5">
        <w:rPr>
          <w:rFonts w:eastAsiaTheme="majorEastAsia"/>
          <w:lang w:val="pt-BR" w:eastAsia="zh-CN"/>
        </w:rPr>
        <w:t xml:space="preserve"> [3, tr. 33]. CĐV cũng bao gồm văn tự trên các vật dụng bằng kim loại khác như binh kh</w:t>
      </w:r>
      <w:r w:rsidRPr="00537AD5">
        <w:rPr>
          <w:rFonts w:eastAsia="SimSun"/>
          <w:lang w:val="pt-BR" w:eastAsia="zh-CN"/>
        </w:rPr>
        <w:t>í</w:t>
      </w:r>
      <w:r w:rsidRPr="00537AD5">
        <w:rPr>
          <w:rFonts w:eastAsiaTheme="majorEastAsia"/>
          <w:lang w:val="pt-BR" w:eastAsia="zh-CN"/>
        </w:rPr>
        <w:t xml:space="preserve">, tiền, phù tiết, dụng cụ cân đo [2, tr. 145-152]. </w:t>
      </w:r>
    </w:p>
    <w:p w:rsidR="00836043" w:rsidRPr="00537AD5" w:rsidRDefault="00836043" w:rsidP="00836043">
      <w:pPr>
        <w:spacing w:after="120" w:line="360" w:lineRule="auto"/>
        <w:ind w:firstLine="567"/>
        <w:jc w:val="both"/>
        <w:rPr>
          <w:rFonts w:eastAsiaTheme="majorEastAsia"/>
          <w:lang w:val="pt-BR" w:eastAsia="zh-CN"/>
        </w:rPr>
      </w:pPr>
      <w:r w:rsidRPr="00537AD5">
        <w:rPr>
          <w:rFonts w:eastAsiaTheme="majorEastAsia"/>
          <w:lang w:val="pt-BR" w:eastAsia="zh-CN"/>
        </w:rPr>
        <w:t>CĐV bắt đầu đ</w:t>
      </w:r>
      <w:r w:rsidRPr="00537AD5">
        <w:rPr>
          <w:rFonts w:eastAsia="SimSun"/>
          <w:lang w:val="pt-BR" w:eastAsia="zh-CN"/>
        </w:rPr>
        <w:t>à</w:t>
      </w:r>
      <w:r w:rsidRPr="00537AD5">
        <w:rPr>
          <w:rFonts w:eastAsiaTheme="majorEastAsia"/>
          <w:lang w:val="pt-BR" w:eastAsia="zh-CN"/>
        </w:rPr>
        <w:t>o được từ thời Hán, đến đời Tống đ</w:t>
      </w:r>
      <w:r w:rsidRPr="00537AD5">
        <w:rPr>
          <w:rFonts w:eastAsia="SimSun"/>
          <w:lang w:val="pt-BR" w:eastAsia="zh-CN"/>
        </w:rPr>
        <w:t>ã</w:t>
      </w:r>
      <w:r w:rsidRPr="00537AD5">
        <w:rPr>
          <w:rFonts w:eastAsiaTheme="majorEastAsia"/>
          <w:lang w:val="pt-BR" w:eastAsia="zh-CN"/>
        </w:rPr>
        <w:t xml:space="preserve"> c</w:t>
      </w:r>
      <w:r w:rsidRPr="00537AD5">
        <w:rPr>
          <w:rFonts w:eastAsia="SimSun"/>
          <w:lang w:val="pt-BR" w:eastAsia="zh-CN"/>
        </w:rPr>
        <w:t>ó</w:t>
      </w:r>
      <w:r w:rsidRPr="00537AD5">
        <w:rPr>
          <w:rFonts w:eastAsiaTheme="majorEastAsia"/>
          <w:lang w:val="pt-BR" w:eastAsia="zh-CN"/>
        </w:rPr>
        <w:t xml:space="preserve"> s</w:t>
      </w:r>
      <w:r w:rsidRPr="00537AD5">
        <w:rPr>
          <w:rFonts w:eastAsia="SimSun"/>
          <w:lang w:val="pt-BR" w:eastAsia="zh-CN"/>
        </w:rPr>
        <w:t>á</w:t>
      </w:r>
      <w:r w:rsidRPr="00537AD5">
        <w:rPr>
          <w:rFonts w:eastAsiaTheme="majorEastAsia"/>
          <w:lang w:val="pt-BR" w:eastAsia="zh-CN"/>
        </w:rPr>
        <w:t>ch tập hợp minh văn tr</w:t>
      </w:r>
      <w:r w:rsidRPr="00537AD5">
        <w:rPr>
          <w:rFonts w:eastAsia="SimSun"/>
          <w:lang w:val="pt-BR" w:eastAsia="zh-CN"/>
        </w:rPr>
        <w:t>ê</w:t>
      </w:r>
      <w:r w:rsidRPr="00537AD5">
        <w:rPr>
          <w:rFonts w:eastAsiaTheme="majorEastAsia"/>
          <w:lang w:val="pt-BR" w:eastAsia="zh-CN"/>
        </w:rPr>
        <w:t>n đồ đồng thau. Hiện đ</w:t>
      </w:r>
      <w:r w:rsidRPr="00537AD5">
        <w:rPr>
          <w:rFonts w:eastAsia="SimSun"/>
          <w:lang w:val="pt-BR" w:eastAsia="zh-CN"/>
        </w:rPr>
        <w:t>ã</w:t>
      </w:r>
      <w:r w:rsidRPr="00537AD5">
        <w:rPr>
          <w:rFonts w:eastAsiaTheme="majorEastAsia"/>
          <w:lang w:val="pt-BR" w:eastAsia="zh-CN"/>
        </w:rPr>
        <w:t xml:space="preserve"> khai quật được hàng vạn đơn vị hiện vật có khắc CĐV (</w:t>
      </w:r>
      <w:r w:rsidRPr="00537AD5">
        <w:rPr>
          <w:rFonts w:eastAsia="SimSun"/>
          <w:i/>
          <w:iCs/>
          <w:lang w:val="pt-BR" w:eastAsia="zh-CN"/>
        </w:rPr>
        <w:t>Â</w:t>
      </w:r>
      <w:r w:rsidRPr="00537AD5">
        <w:rPr>
          <w:rFonts w:eastAsiaTheme="majorEastAsia"/>
          <w:i/>
          <w:iCs/>
          <w:lang w:val="pt-BR" w:eastAsia="zh-CN"/>
        </w:rPr>
        <w:t>n Chu kim văn tập thành</w:t>
      </w:r>
      <w:r w:rsidRPr="00537AD5">
        <w:rPr>
          <w:rFonts w:eastAsiaTheme="majorEastAsia"/>
          <w:lang w:val="pt-BR" w:eastAsia="zh-CN"/>
        </w:rPr>
        <w:t>, 2007). Hiện đ</w:t>
      </w:r>
      <w:r w:rsidRPr="00537AD5">
        <w:rPr>
          <w:rFonts w:eastAsia="SimSun"/>
          <w:lang w:val="pt-BR" w:eastAsia="zh-CN"/>
        </w:rPr>
        <w:t>ã</w:t>
      </w:r>
      <w:r w:rsidRPr="00537AD5">
        <w:rPr>
          <w:rFonts w:eastAsiaTheme="majorEastAsia"/>
          <w:lang w:val="pt-BR" w:eastAsia="zh-CN"/>
        </w:rPr>
        <w:t xml:space="preserve"> ph</w:t>
      </w:r>
      <w:r w:rsidRPr="00537AD5">
        <w:rPr>
          <w:rFonts w:eastAsia="SimSun"/>
          <w:lang w:val="pt-BR" w:eastAsia="zh-CN"/>
        </w:rPr>
        <w:t>â</w:t>
      </w:r>
      <w:r w:rsidRPr="00537AD5">
        <w:rPr>
          <w:rFonts w:eastAsiaTheme="majorEastAsia"/>
          <w:lang w:val="pt-BR" w:eastAsia="zh-CN"/>
        </w:rPr>
        <w:t>n biệt được trên 3.000 chữ CĐV, giải đọc được hơn 1.800 chữ. Trong lịch sử phát triển của tự thể chữ Hán, CĐV thuộc giai đoạn cổ văn tự (trước lệ thư), l</w:t>
      </w:r>
      <w:r w:rsidRPr="00537AD5">
        <w:rPr>
          <w:rFonts w:eastAsia="SimSun"/>
          <w:lang w:val="pt-BR" w:eastAsia="zh-CN"/>
        </w:rPr>
        <w:t>ú</w:t>
      </w:r>
      <w:r w:rsidRPr="00537AD5">
        <w:rPr>
          <w:rFonts w:eastAsiaTheme="majorEastAsia"/>
          <w:lang w:val="pt-BR" w:eastAsia="zh-CN"/>
        </w:rPr>
        <w:t>c đầu gần với giáp cốt văn, nhiều chữ còn dáng dấp văn tự đồ hoạ, đến giai đoạn cuối thì gần với tiểu triện. Nét chữ đơn nhất, không chia đậm nhạt.</w:t>
      </w:r>
    </w:p>
    <w:p w:rsidR="00836043" w:rsidRPr="00537AD5" w:rsidRDefault="00836043" w:rsidP="00836043">
      <w:pPr>
        <w:spacing w:after="120" w:line="360" w:lineRule="auto"/>
        <w:ind w:firstLine="567"/>
        <w:jc w:val="both"/>
        <w:rPr>
          <w:rFonts w:eastAsiaTheme="majorEastAsia"/>
          <w:lang w:val="pt-BR" w:eastAsia="zh-CN"/>
        </w:rPr>
      </w:pPr>
      <w:r w:rsidRPr="00537AD5">
        <w:rPr>
          <w:rFonts w:eastAsiaTheme="majorEastAsia"/>
          <w:lang w:val="pt-BR" w:eastAsia="zh-CN"/>
        </w:rPr>
        <w:t>Đời Thương, c</w:t>
      </w:r>
      <w:r w:rsidRPr="00537AD5">
        <w:rPr>
          <w:rFonts w:eastAsia="SimSun"/>
          <w:lang w:val="pt-BR" w:eastAsia="zh-CN"/>
        </w:rPr>
        <w:t>á</w:t>
      </w:r>
      <w:r w:rsidRPr="00537AD5">
        <w:rPr>
          <w:rFonts w:eastAsiaTheme="majorEastAsia"/>
          <w:lang w:val="pt-BR" w:eastAsia="zh-CN"/>
        </w:rPr>
        <w:t>c hiện vật đồng thau thường ít chữ, quá nửa chỉ có đ</w:t>
      </w:r>
      <w:r w:rsidRPr="00537AD5">
        <w:rPr>
          <w:rFonts w:eastAsia="SimSun"/>
          <w:lang w:val="pt-BR" w:eastAsia="zh-CN"/>
        </w:rPr>
        <w:t>ô</w:t>
      </w:r>
      <w:r w:rsidRPr="00537AD5">
        <w:rPr>
          <w:rFonts w:eastAsiaTheme="majorEastAsia"/>
          <w:lang w:val="pt-BR" w:eastAsia="zh-CN"/>
        </w:rPr>
        <w:t>i ba chữ, tự thể đậm tính đồ hoạ. Cuối đời Thương</w:t>
      </w:r>
      <w:r w:rsidRPr="00537AD5">
        <w:rPr>
          <w:rFonts w:eastAsiaTheme="majorEastAsia"/>
          <w:lang w:val="pt-BR" w:eastAsia="zh-CN"/>
        </w:rPr>
        <w:fldChar w:fldCharType="begin"/>
      </w:r>
      <w:r w:rsidRPr="00537AD5">
        <w:rPr>
          <w:rFonts w:eastAsiaTheme="majorEastAsia"/>
          <w:lang w:val="pt-BR" w:eastAsia="zh-CN"/>
        </w:rPr>
        <w:instrText xml:space="preserve"> XE "đồng thau" </w:instrText>
      </w:r>
      <w:r w:rsidRPr="00537AD5">
        <w:rPr>
          <w:rFonts w:eastAsiaTheme="majorEastAsia"/>
          <w:lang w:val="pt-BR" w:eastAsia="zh-CN"/>
        </w:rPr>
        <w:fldChar w:fldCharType="end"/>
      </w:r>
      <w:r w:rsidRPr="00537AD5">
        <w:rPr>
          <w:rFonts w:eastAsiaTheme="majorEastAsia"/>
          <w:lang w:val="pt-BR" w:eastAsia="zh-CN"/>
        </w:rPr>
        <w:t>, nội dung thường ghi lại nguồn gốc hoặc mục đ</w:t>
      </w:r>
      <w:r w:rsidRPr="00537AD5">
        <w:rPr>
          <w:rFonts w:eastAsia="SimSun"/>
          <w:lang w:val="pt-BR" w:eastAsia="zh-CN"/>
        </w:rPr>
        <w:t>í</w:t>
      </w:r>
      <w:r w:rsidRPr="00537AD5">
        <w:rPr>
          <w:rFonts w:eastAsiaTheme="majorEastAsia"/>
          <w:lang w:val="pt-BR" w:eastAsia="zh-CN"/>
        </w:rPr>
        <w:t>ch tạo tác hiện vật, để ban thưởng hoặc làm kỷ niệm. Thời Tây Chu xuất hiện ngày càng nhiều hiện vật kích thước lớn, trang trọng và cao nhã, thể chữ chỉnh tề, ghi nội dung đa dạng, như việc quý tộc nhận lệnh hoặc sách phong của Chu vương. Đến thời Xuân Thu, văn bản ngắn dần, nội dung gọn gàng, thường chỉ ghi lại nguyên nhân hoặc tên người tạo tác hiện vật, thể chữ không còn chỉnh tề như trước. Sang thời Chiến Quốc đ</w:t>
      </w:r>
      <w:r w:rsidRPr="00537AD5">
        <w:rPr>
          <w:rFonts w:eastAsia="SimSun"/>
          <w:lang w:val="pt-BR" w:eastAsia="zh-CN"/>
        </w:rPr>
        <w:t>ã</w:t>
      </w:r>
      <w:r w:rsidRPr="00537AD5">
        <w:rPr>
          <w:rFonts w:eastAsiaTheme="majorEastAsia"/>
          <w:lang w:val="pt-BR" w:eastAsia="zh-CN"/>
        </w:rPr>
        <w:t xml:space="preserve"> c</w:t>
      </w:r>
      <w:r w:rsidRPr="00537AD5">
        <w:rPr>
          <w:rFonts w:eastAsia="SimSun"/>
          <w:lang w:val="pt-BR" w:eastAsia="zh-CN"/>
        </w:rPr>
        <w:t>ó</w:t>
      </w:r>
      <w:r w:rsidRPr="00537AD5">
        <w:rPr>
          <w:rFonts w:eastAsiaTheme="majorEastAsia"/>
          <w:lang w:val="pt-BR" w:eastAsia="zh-CN"/>
        </w:rPr>
        <w:t xml:space="preserve"> sự thay đổi lớn trong tính chất và tác dụng của CĐV</w:t>
      </w:r>
      <w:r w:rsidRPr="00537AD5">
        <w:rPr>
          <w:rFonts w:eastAsiaTheme="majorEastAsia"/>
          <w:lang w:val="pt-BR" w:eastAsia="zh-CN"/>
        </w:rPr>
        <w:fldChar w:fldCharType="begin"/>
      </w:r>
      <w:r w:rsidRPr="00537AD5">
        <w:rPr>
          <w:rFonts w:eastAsiaTheme="majorEastAsia"/>
          <w:lang w:val="pt-BR" w:eastAsia="zh-CN"/>
        </w:rPr>
        <w:instrText xml:space="preserve"> XE "Kim văn" </w:instrText>
      </w:r>
      <w:r w:rsidRPr="00537AD5">
        <w:rPr>
          <w:rFonts w:eastAsiaTheme="majorEastAsia"/>
          <w:lang w:val="pt-BR" w:eastAsia="zh-CN"/>
        </w:rPr>
        <w:fldChar w:fldCharType="end"/>
      </w:r>
      <w:r w:rsidRPr="00537AD5">
        <w:rPr>
          <w:rFonts w:eastAsiaTheme="majorEastAsia"/>
          <w:lang w:val="pt-BR" w:eastAsia="zh-CN"/>
        </w:rPr>
        <w:t>. Đồ kim khí trước đ</w:t>
      </w:r>
      <w:r w:rsidRPr="00537AD5">
        <w:rPr>
          <w:rFonts w:eastAsia="SimSun"/>
          <w:lang w:val="pt-BR" w:eastAsia="zh-CN"/>
        </w:rPr>
        <w:t>ó</w:t>
      </w:r>
      <w:r w:rsidRPr="00537AD5">
        <w:rPr>
          <w:rFonts w:eastAsiaTheme="majorEastAsia"/>
          <w:lang w:val="pt-BR" w:eastAsia="zh-CN"/>
        </w:rPr>
        <w:t xml:space="preserve"> phần lớn là do đ</w:t>
      </w:r>
      <w:r w:rsidRPr="00537AD5">
        <w:rPr>
          <w:rFonts w:eastAsia="SimSun"/>
          <w:lang w:val="pt-BR" w:eastAsia="zh-CN"/>
        </w:rPr>
        <w:t>ú</w:t>
      </w:r>
      <w:r w:rsidRPr="00537AD5">
        <w:rPr>
          <w:rFonts w:eastAsiaTheme="majorEastAsia"/>
          <w:lang w:val="pt-BR" w:eastAsia="zh-CN"/>
        </w:rPr>
        <w:t>c m</w:t>
      </w:r>
      <w:r w:rsidRPr="00537AD5">
        <w:rPr>
          <w:rFonts w:eastAsia="SimSun"/>
          <w:lang w:val="pt-BR" w:eastAsia="zh-CN"/>
        </w:rPr>
        <w:t>à</w:t>
      </w:r>
      <w:r w:rsidRPr="00537AD5">
        <w:rPr>
          <w:rFonts w:eastAsiaTheme="majorEastAsia"/>
          <w:lang w:val="pt-BR" w:eastAsia="zh-CN"/>
        </w:rPr>
        <w:t xml:space="preserve"> th</w:t>
      </w:r>
      <w:r w:rsidRPr="00537AD5">
        <w:rPr>
          <w:rFonts w:eastAsia="SimSun"/>
          <w:lang w:val="pt-BR" w:eastAsia="zh-CN"/>
        </w:rPr>
        <w:t>à</w:t>
      </w:r>
      <w:r w:rsidRPr="00537AD5">
        <w:rPr>
          <w:rFonts w:eastAsiaTheme="majorEastAsia"/>
          <w:lang w:val="pt-BR" w:eastAsia="zh-CN"/>
        </w:rPr>
        <w:t xml:space="preserve">nh, giờ đa số do đục chạm, từ tính chất kỷ niệm chuyển sang ghi chép thuần tuý. Nội </w:t>
      </w:r>
      <w:r w:rsidRPr="00537AD5">
        <w:rPr>
          <w:rFonts w:eastAsiaTheme="majorEastAsia"/>
          <w:lang w:val="pt-BR" w:eastAsia="zh-CN"/>
        </w:rPr>
        <w:lastRenderedPageBreak/>
        <w:t xml:space="preserve">dung phần lớn là chữ ghi lại tên người thợ và viên quan trông việc chế tạo, tự thể càng đơn giản hơn trước [2, tr. 145-147]. </w:t>
      </w:r>
    </w:p>
    <w:p w:rsidR="00836043" w:rsidRPr="00537AD5" w:rsidRDefault="00836043" w:rsidP="00836043">
      <w:pPr>
        <w:spacing w:after="120" w:line="360" w:lineRule="auto"/>
        <w:ind w:firstLine="567"/>
        <w:jc w:val="both"/>
        <w:rPr>
          <w:rFonts w:eastAsiaTheme="majorEastAsia"/>
          <w:lang w:val="pt-BR" w:eastAsia="zh-CN"/>
        </w:rPr>
      </w:pPr>
      <w:r w:rsidRPr="00537AD5">
        <w:rPr>
          <w:rFonts w:eastAsiaTheme="majorEastAsia"/>
          <w:lang w:val="pt-BR" w:eastAsia="zh-CN"/>
        </w:rPr>
        <w:t>Giới văn tự học Đ</w:t>
      </w:r>
      <w:r w:rsidRPr="00537AD5">
        <w:rPr>
          <w:rFonts w:eastAsia="SimSun"/>
          <w:lang w:val="pt-BR" w:eastAsia="zh-CN"/>
        </w:rPr>
        <w:t>ô</w:t>
      </w:r>
      <w:r w:rsidRPr="00537AD5">
        <w:rPr>
          <w:rFonts w:eastAsiaTheme="majorEastAsia"/>
          <w:lang w:val="pt-BR" w:eastAsia="zh-CN"/>
        </w:rPr>
        <w:t xml:space="preserve">ng </w:t>
      </w:r>
      <w:r w:rsidRPr="00537AD5">
        <w:rPr>
          <w:rFonts w:eastAsia="SimSun"/>
          <w:lang w:val="pt-BR" w:eastAsia="zh-CN"/>
        </w:rPr>
        <w:t>Á</w:t>
      </w:r>
      <w:r w:rsidRPr="00537AD5">
        <w:rPr>
          <w:rFonts w:eastAsiaTheme="majorEastAsia"/>
          <w:lang w:val="pt-BR" w:eastAsia="zh-CN"/>
        </w:rPr>
        <w:t xml:space="preserve"> thường dùng thuật ngữ “kim văn</w:t>
      </w:r>
      <w:r w:rsidRPr="00537AD5">
        <w:rPr>
          <w:rFonts w:eastAsia="SimSun"/>
          <w:lang w:val="pt-BR" w:eastAsia="zh-CN"/>
        </w:rPr>
        <w:t>”</w:t>
      </w:r>
      <w:r w:rsidRPr="00537AD5">
        <w:rPr>
          <w:rFonts w:eastAsiaTheme="majorEastAsia"/>
          <w:lang w:val="pt-BR" w:eastAsia="zh-CN"/>
        </w:rPr>
        <w:t xml:space="preserve"> 金文 thay cho “CĐV</w:t>
      </w:r>
      <w:r w:rsidRPr="00537AD5">
        <w:rPr>
          <w:rFonts w:eastAsia="SimSun"/>
          <w:lang w:val="pt-BR" w:eastAsia="zh-CN"/>
        </w:rPr>
        <w:t>”</w:t>
      </w:r>
      <w:r w:rsidRPr="00537AD5">
        <w:rPr>
          <w:rFonts w:eastAsiaTheme="majorEastAsia"/>
          <w:lang w:val="pt-BR" w:eastAsia="zh-CN"/>
        </w:rPr>
        <w:t>. T</w:t>
      </w:r>
      <w:r w:rsidRPr="00537AD5">
        <w:rPr>
          <w:rFonts w:eastAsia="SimSun"/>
          <w:lang w:val="pt-BR" w:eastAsia="zh-CN"/>
        </w:rPr>
        <w:t>ê</w:t>
      </w:r>
      <w:r w:rsidRPr="00537AD5">
        <w:rPr>
          <w:rFonts w:eastAsiaTheme="majorEastAsia"/>
          <w:lang w:val="pt-BR" w:eastAsia="zh-CN"/>
        </w:rPr>
        <w:t>n gọi này hay bị hiểu sai thành “chữ trên đồ kim loại”. Kỳ thực, “kim văn</w:t>
      </w:r>
      <w:r w:rsidRPr="00537AD5">
        <w:rPr>
          <w:rFonts w:eastAsia="SimSun"/>
          <w:lang w:val="pt-BR" w:eastAsia="zh-CN"/>
        </w:rPr>
        <w:t>”</w:t>
      </w:r>
      <w:r w:rsidRPr="00537AD5">
        <w:rPr>
          <w:rFonts w:eastAsiaTheme="majorEastAsia"/>
          <w:lang w:val="pt-BR" w:eastAsia="zh-CN"/>
        </w:rPr>
        <w:t xml:space="preserve"> l</w:t>
      </w:r>
      <w:r w:rsidRPr="00537AD5">
        <w:rPr>
          <w:rFonts w:eastAsia="SimSun"/>
          <w:lang w:val="pt-BR" w:eastAsia="zh-CN"/>
        </w:rPr>
        <w:t>à</w:t>
      </w:r>
      <w:r w:rsidRPr="00537AD5">
        <w:rPr>
          <w:rFonts w:eastAsiaTheme="majorEastAsia"/>
          <w:lang w:val="pt-BR" w:eastAsia="zh-CN"/>
        </w:rPr>
        <w:t xml:space="preserve"> c</w:t>
      </w:r>
      <w:r w:rsidRPr="00537AD5">
        <w:rPr>
          <w:rFonts w:eastAsia="SimSun"/>
          <w:lang w:val="pt-BR" w:eastAsia="zh-CN"/>
        </w:rPr>
        <w:t>á</w:t>
      </w:r>
      <w:r w:rsidRPr="00537AD5">
        <w:rPr>
          <w:rFonts w:eastAsiaTheme="majorEastAsia"/>
          <w:lang w:val="pt-BR" w:eastAsia="zh-CN"/>
        </w:rPr>
        <w:t xml:space="preserve">ch gọi tắt của “cát kim văn tự” 吉金文字, vốn bắt nguồn từ các cụm từ “tứ cát kim” 賜吉金 (ban cho đồ cát kim), “trạch kỳ cát kim 擇其吉金 (chọn đồ cát kim) hay xuất hiện trong CĐV. </w:t>
      </w:r>
      <w:r w:rsidRPr="00537AD5">
        <w:rPr>
          <w:rFonts w:eastAsia="SimSun"/>
          <w:lang w:val="pt-BR" w:eastAsia="zh-CN"/>
        </w:rPr>
        <w:t>“</w:t>
      </w:r>
      <w:r w:rsidRPr="00537AD5">
        <w:rPr>
          <w:rFonts w:eastAsiaTheme="majorEastAsia"/>
          <w:lang w:val="pt-BR" w:eastAsia="zh-CN"/>
        </w:rPr>
        <w:t>C</w:t>
      </w:r>
      <w:r w:rsidRPr="00537AD5">
        <w:rPr>
          <w:rFonts w:eastAsia="SimSun"/>
          <w:lang w:val="pt-BR" w:eastAsia="zh-CN"/>
        </w:rPr>
        <w:t>á</w:t>
      </w:r>
      <w:r w:rsidRPr="00537AD5">
        <w:rPr>
          <w:rFonts w:eastAsiaTheme="majorEastAsia"/>
          <w:lang w:val="pt-BR" w:eastAsia="zh-CN"/>
        </w:rPr>
        <w:t>t kim</w:t>
      </w:r>
      <w:r w:rsidRPr="00537AD5">
        <w:rPr>
          <w:rFonts w:eastAsia="SimSun"/>
          <w:lang w:val="pt-BR" w:eastAsia="zh-CN"/>
        </w:rPr>
        <w:t>”</w:t>
      </w:r>
      <w:r w:rsidRPr="00537AD5">
        <w:rPr>
          <w:rFonts w:eastAsiaTheme="majorEastAsia"/>
          <w:lang w:val="pt-BR" w:eastAsia="zh-CN"/>
        </w:rPr>
        <w:t xml:space="preserve"> 吉金 chỉ đồ tế lễ đ</w:t>
      </w:r>
      <w:r w:rsidRPr="00537AD5">
        <w:rPr>
          <w:rFonts w:eastAsia="SimSun"/>
          <w:lang w:val="pt-BR" w:eastAsia="zh-CN"/>
        </w:rPr>
        <w:t>ú</w:t>
      </w:r>
      <w:r w:rsidRPr="00537AD5">
        <w:rPr>
          <w:rFonts w:eastAsiaTheme="majorEastAsia"/>
          <w:lang w:val="pt-BR" w:eastAsia="zh-CN"/>
        </w:rPr>
        <w:t>c bằng đồng, tế lễ được coi là việc lành nên thêm chữ cát 吉 nghĩa l</w:t>
      </w:r>
      <w:r w:rsidRPr="00537AD5">
        <w:rPr>
          <w:rFonts w:eastAsia="SimSun"/>
          <w:lang w:val="pt-BR" w:eastAsia="zh-CN"/>
        </w:rPr>
        <w:t>à</w:t>
      </w:r>
      <w:r w:rsidRPr="00537AD5">
        <w:rPr>
          <w:rFonts w:eastAsiaTheme="majorEastAsia"/>
          <w:lang w:val="pt-BR" w:eastAsia="zh-CN"/>
        </w:rPr>
        <w:t xml:space="preserve"> l</w:t>
      </w:r>
      <w:r w:rsidRPr="00537AD5">
        <w:rPr>
          <w:rFonts w:eastAsia="SimSun"/>
          <w:lang w:val="pt-BR" w:eastAsia="zh-CN"/>
        </w:rPr>
        <w:t>à</w:t>
      </w:r>
      <w:r w:rsidRPr="00537AD5">
        <w:rPr>
          <w:rFonts w:eastAsiaTheme="majorEastAsia"/>
          <w:lang w:val="pt-BR" w:eastAsia="zh-CN"/>
        </w:rPr>
        <w:t>nh [6, tr. 269].</w:t>
      </w:r>
    </w:p>
    <w:tbl>
      <w:tblPr>
        <w:tblW w:w="0" w:type="auto"/>
        <w:tblLook w:val="04A0" w:firstRow="1" w:lastRow="0" w:firstColumn="1" w:lastColumn="0" w:noHBand="0" w:noVBand="1"/>
      </w:tblPr>
      <w:tblGrid>
        <w:gridCol w:w="4361"/>
        <w:gridCol w:w="4620"/>
      </w:tblGrid>
      <w:tr w:rsidR="00836043" w:rsidRPr="00537AD5" w:rsidTr="00BC2CDC">
        <w:tc>
          <w:tcPr>
            <w:tcW w:w="4361" w:type="dxa"/>
            <w:shd w:val="clear" w:color="auto" w:fill="auto"/>
          </w:tcPr>
          <w:p w:rsidR="00836043" w:rsidRPr="00537AD5" w:rsidRDefault="00836043" w:rsidP="00BC2CDC">
            <w:pPr>
              <w:spacing w:after="120" w:line="360" w:lineRule="auto"/>
              <w:ind w:firstLine="567"/>
              <w:jc w:val="both"/>
              <w:rPr>
                <w:rFonts w:eastAsiaTheme="majorEastAsia"/>
                <w:lang w:val="pt-BR" w:eastAsia="zh-CN"/>
              </w:rPr>
            </w:pPr>
            <w:r w:rsidRPr="00537AD5">
              <w:rPr>
                <w:rFonts w:eastAsiaTheme="majorEastAsia"/>
                <w:noProof/>
                <w:lang w:val="vi-VN" w:eastAsia="vi-VN"/>
              </w:rPr>
              <w:drawing>
                <wp:inline distT="0" distB="0" distL="0" distR="0" wp14:anchorId="793BC9E4" wp14:editId="05BD1D74">
                  <wp:extent cx="1701800" cy="1629410"/>
                  <wp:effectExtent l="0" t="0" r="0" b="0"/>
                  <wp:docPr id="191"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706021" cy="1633346"/>
                          </a:xfrm>
                          <a:prstGeom prst="rect">
                            <a:avLst/>
                          </a:prstGeom>
                          <a:noFill/>
                          <a:ln>
                            <a:noFill/>
                          </a:ln>
                        </pic:spPr>
                      </pic:pic>
                    </a:graphicData>
                  </a:graphic>
                </wp:inline>
              </w:drawing>
            </w:r>
          </w:p>
        </w:tc>
        <w:tc>
          <w:tcPr>
            <w:tcW w:w="4620" w:type="dxa"/>
            <w:shd w:val="clear" w:color="auto" w:fill="auto"/>
          </w:tcPr>
          <w:p w:rsidR="00836043" w:rsidRPr="00537AD5" w:rsidRDefault="00836043" w:rsidP="00BC2CDC">
            <w:pPr>
              <w:spacing w:after="120" w:line="360" w:lineRule="auto"/>
              <w:ind w:firstLine="567"/>
              <w:jc w:val="both"/>
              <w:rPr>
                <w:rFonts w:eastAsiaTheme="majorEastAsia"/>
                <w:lang w:val="pt-BR" w:eastAsia="zh-CN"/>
              </w:rPr>
            </w:pPr>
            <w:r w:rsidRPr="00537AD5">
              <w:rPr>
                <w:rFonts w:eastAsiaTheme="majorEastAsia"/>
                <w:noProof/>
                <w:lang w:val="vi-VN" w:eastAsia="vi-VN"/>
              </w:rPr>
              <w:drawing>
                <wp:inline distT="0" distB="0" distL="0" distR="0" wp14:anchorId="431F94BA" wp14:editId="2D997625">
                  <wp:extent cx="1403350" cy="1629410"/>
                  <wp:effectExtent l="0" t="0" r="0" b="0"/>
                  <wp:docPr id="192"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18"/>
                          <pic:cNvPicPr>
                            <a:picLocks noChangeAspect="1" noChangeArrowheads="1"/>
                          </pic:cNvPicPr>
                        </pic:nvPicPr>
                        <pic:blipFill>
                          <a:blip r:embed="rId5" cstate="print">
                            <a:lum contrast="52000"/>
                            <a:extLst>
                              <a:ext uri="{28A0092B-C50C-407E-A947-70E740481C1C}">
                                <a14:useLocalDpi xmlns:a14="http://schemas.microsoft.com/office/drawing/2010/main" val="0"/>
                              </a:ext>
                            </a:extLst>
                          </a:blip>
                          <a:srcRect/>
                          <a:stretch>
                            <a:fillRect/>
                          </a:stretch>
                        </pic:blipFill>
                        <pic:spPr>
                          <a:xfrm>
                            <a:off x="0" y="0"/>
                            <a:ext cx="1404043" cy="1630173"/>
                          </a:xfrm>
                          <a:prstGeom prst="rect">
                            <a:avLst/>
                          </a:prstGeom>
                          <a:noFill/>
                          <a:ln>
                            <a:noFill/>
                          </a:ln>
                        </pic:spPr>
                      </pic:pic>
                    </a:graphicData>
                  </a:graphic>
                </wp:inline>
              </w:drawing>
            </w:r>
          </w:p>
        </w:tc>
      </w:tr>
      <w:tr w:rsidR="00836043" w:rsidRPr="00537AD5" w:rsidTr="00BC2CDC">
        <w:tc>
          <w:tcPr>
            <w:tcW w:w="8981" w:type="dxa"/>
            <w:gridSpan w:val="2"/>
            <w:shd w:val="clear" w:color="auto" w:fill="auto"/>
          </w:tcPr>
          <w:p w:rsidR="00836043" w:rsidRPr="00537AD5" w:rsidRDefault="00836043" w:rsidP="00BC2CDC">
            <w:pPr>
              <w:spacing w:after="120" w:line="360" w:lineRule="auto"/>
              <w:ind w:firstLine="567"/>
              <w:jc w:val="center"/>
              <w:rPr>
                <w:rFonts w:eastAsiaTheme="majorEastAsia"/>
                <w:lang w:val="pt-BR" w:eastAsia="zh-CN"/>
              </w:rPr>
            </w:pPr>
            <w:r w:rsidRPr="00537AD5">
              <w:rPr>
                <w:rFonts w:eastAsiaTheme="majorEastAsia"/>
                <w:lang w:val="pt-BR" w:eastAsia="zh-CN"/>
              </w:rPr>
              <w:t>CĐV tr</w:t>
            </w:r>
            <w:r w:rsidRPr="00537AD5">
              <w:rPr>
                <w:rFonts w:eastAsia="SimSun"/>
                <w:lang w:val="pt-BR" w:eastAsia="zh-CN"/>
              </w:rPr>
              <w:t>ê</w:t>
            </w:r>
            <w:r w:rsidRPr="00537AD5">
              <w:rPr>
                <w:rFonts w:eastAsiaTheme="majorEastAsia"/>
                <w:lang w:val="pt-BR" w:eastAsia="zh-CN"/>
              </w:rPr>
              <w:t>n đỉnh cuối thời Tây Chu [2, tr. 147].</w:t>
            </w:r>
          </w:p>
        </w:tc>
      </w:tr>
    </w:tbl>
    <w:p w:rsidR="00836043" w:rsidRPr="00537AD5" w:rsidRDefault="00836043" w:rsidP="00836043">
      <w:pPr>
        <w:spacing w:line="360" w:lineRule="auto"/>
        <w:ind w:firstLine="567"/>
        <w:jc w:val="right"/>
        <w:rPr>
          <w:rFonts w:eastAsiaTheme="majorEastAsia"/>
          <w:b/>
          <w:bCs/>
          <w:sz w:val="20"/>
          <w:szCs w:val="20"/>
          <w:lang w:val="pt-BR" w:eastAsia="zh-CN"/>
        </w:rPr>
      </w:pPr>
      <w:r w:rsidRPr="00537AD5">
        <w:rPr>
          <w:rFonts w:eastAsiaTheme="majorEastAsia"/>
          <w:b/>
          <w:bCs/>
          <w:sz w:val="20"/>
          <w:szCs w:val="20"/>
          <w:lang w:val="pt-BR" w:eastAsia="zh-CN"/>
        </w:rPr>
        <w:t>NGUYỄN TUẤN CƯỜNG</w:t>
      </w:r>
    </w:p>
    <w:p w:rsidR="00836043" w:rsidRPr="00537AD5" w:rsidRDefault="00836043" w:rsidP="00836043">
      <w:pPr>
        <w:spacing w:line="360" w:lineRule="auto"/>
        <w:rPr>
          <w:rFonts w:eastAsiaTheme="majorEastAsia"/>
          <w:b/>
          <w:sz w:val="24"/>
          <w:szCs w:val="24"/>
          <w:lang w:val="pt-BR" w:eastAsia="zh-CN"/>
        </w:rPr>
      </w:pPr>
      <w:r w:rsidRPr="00537AD5">
        <w:rPr>
          <w:rFonts w:eastAsiaTheme="majorEastAsia"/>
          <w:b/>
          <w:sz w:val="24"/>
          <w:szCs w:val="24"/>
          <w:lang w:val="pt-BR" w:eastAsia="zh-CN"/>
        </w:rPr>
        <w:t>Tài liệu tham khảo</w:t>
      </w:r>
    </w:p>
    <w:p w:rsidR="00836043" w:rsidRPr="00537AD5" w:rsidRDefault="00836043" w:rsidP="00836043">
      <w:pPr>
        <w:pStyle w:val="FootnoteText"/>
        <w:spacing w:before="0" w:line="276"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1. Lý Lạc Nghị, </w:t>
      </w:r>
      <w:r w:rsidRPr="00537AD5">
        <w:rPr>
          <w:rFonts w:ascii="Times New Roman" w:eastAsiaTheme="majorEastAsia" w:hAnsi="Times New Roman"/>
          <w:i/>
          <w:sz w:val="24"/>
          <w:szCs w:val="24"/>
          <w:lang w:val="pt-BR"/>
        </w:rPr>
        <w:t>Tìm về cội nguồn chữ Hán</w:t>
      </w:r>
      <w:r w:rsidRPr="00537AD5">
        <w:rPr>
          <w:rFonts w:ascii="Times New Roman" w:eastAsiaTheme="majorEastAsia" w:hAnsi="Times New Roman"/>
          <w:sz w:val="24"/>
          <w:szCs w:val="24"/>
          <w:lang w:val="pt-BR"/>
        </w:rPr>
        <w:t xml:space="preserve"> (bản dịch), Nxb Thế giới, Hà Nội, 1998.</w:t>
      </w:r>
    </w:p>
    <w:p w:rsidR="00836043" w:rsidRPr="00537AD5" w:rsidRDefault="00836043" w:rsidP="00836043">
      <w:pPr>
        <w:pStyle w:val="FootnoteText"/>
        <w:spacing w:before="0" w:line="276"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2. Lý Vận Phú, </w:t>
      </w:r>
      <w:r w:rsidRPr="00537AD5">
        <w:rPr>
          <w:rFonts w:ascii="Times New Roman" w:eastAsiaTheme="majorEastAsia" w:hAnsi="Times New Roman"/>
          <w:i/>
          <w:sz w:val="24"/>
          <w:szCs w:val="24"/>
          <w:lang w:val="pt-BR"/>
        </w:rPr>
        <w:t>Hán tự học tân luận</w:t>
      </w:r>
      <w:r w:rsidRPr="00537AD5">
        <w:rPr>
          <w:rFonts w:ascii="Times New Roman" w:eastAsiaTheme="majorEastAsia" w:hAnsi="Times New Roman"/>
          <w:sz w:val="24"/>
          <w:szCs w:val="24"/>
          <w:lang w:val="pt-BR"/>
        </w:rPr>
        <w:t xml:space="preserve"> (bản dịch), Nxb Thế giới, Hà Nội, 2018.</w:t>
      </w:r>
    </w:p>
    <w:p w:rsidR="00836043" w:rsidRPr="00537AD5" w:rsidRDefault="00836043" w:rsidP="00836043">
      <w:pPr>
        <w:pStyle w:val="FootnoteText"/>
        <w:spacing w:before="0" w:line="276" w:lineRule="auto"/>
        <w:rPr>
          <w:rFonts w:ascii="Times New Roman" w:eastAsiaTheme="majorEastAsia" w:hAnsi="Times New Roman"/>
          <w:sz w:val="24"/>
          <w:szCs w:val="24"/>
          <w:lang w:val="pt-BR" w:eastAsia="zh-TW"/>
        </w:rPr>
      </w:pPr>
      <w:r w:rsidRPr="00537AD5">
        <w:rPr>
          <w:rFonts w:ascii="Times New Roman" w:eastAsiaTheme="majorEastAsia" w:hAnsi="Times New Roman"/>
          <w:sz w:val="24"/>
          <w:szCs w:val="24"/>
          <w:lang w:val="pt-BR" w:eastAsia="zh-TW"/>
        </w:rPr>
        <w:t>3. Mã Văn Hi, Trương Quy B</w:t>
      </w:r>
      <w:r w:rsidRPr="00537AD5">
        <w:rPr>
          <w:rFonts w:ascii="Times New Roman" w:eastAsia="SimSun" w:hAnsi="Times New Roman"/>
          <w:sz w:val="24"/>
          <w:szCs w:val="24"/>
          <w:lang w:val="pt-BR" w:eastAsia="zh-TW"/>
        </w:rPr>
        <w:t>í</w:t>
      </w:r>
      <w:r w:rsidRPr="00537AD5">
        <w:rPr>
          <w:rFonts w:ascii="Times New Roman" w:eastAsiaTheme="majorEastAsia" w:hAnsi="Times New Roman"/>
          <w:sz w:val="24"/>
          <w:szCs w:val="24"/>
          <w:lang w:val="pt-BR" w:eastAsia="zh-TW"/>
        </w:rPr>
        <w:t>ch</w:t>
      </w:r>
      <w:r w:rsidRPr="00537AD5">
        <w:rPr>
          <w:rFonts w:ascii="Times New Roman" w:eastAsia="SimSun" w:hAnsi="Times New Roman"/>
          <w:sz w:val="24"/>
          <w:szCs w:val="24"/>
          <w:lang w:val="pt-BR" w:eastAsia="zh-TW"/>
        </w:rPr>
        <w:t>…</w:t>
      </w:r>
      <w:r w:rsidRPr="00537AD5">
        <w:rPr>
          <w:rFonts w:ascii="Times New Roman" w:eastAsiaTheme="majorEastAsia" w:hAnsi="Times New Roman"/>
          <w:sz w:val="24"/>
          <w:szCs w:val="24"/>
          <w:lang w:val="pt-BR" w:eastAsia="zh-TW"/>
        </w:rPr>
        <w:t xml:space="preserve"> 馬文熙、張歸璧等編著，《古漢語知識詳解辭典》，中華書局，北京, 1996</w:t>
      </w:r>
    </w:p>
    <w:p w:rsidR="00836043" w:rsidRPr="00537AD5" w:rsidRDefault="00836043" w:rsidP="00836043">
      <w:pPr>
        <w:pStyle w:val="FootnoteText"/>
        <w:spacing w:before="0" w:line="276"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4. Đới Gia Tường 戴家祥(主编Chủ biên)，《金文大字典》，学林出版社, 上海，1999</w:t>
      </w:r>
    </w:p>
    <w:p w:rsidR="00836043" w:rsidRPr="00537AD5" w:rsidRDefault="00836043" w:rsidP="00836043">
      <w:pPr>
        <w:pStyle w:val="FootnoteText"/>
        <w:spacing w:before="0" w:line="276"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5. Viện Khảo cổ học (Viện Khoa học xã hội Trung Quốc) 中国社会科学院考古研究所：《殷周金文集成》，中华书局，北京, 2007</w:t>
      </w:r>
    </w:p>
    <w:p w:rsidR="00836043" w:rsidRPr="00537AD5" w:rsidRDefault="00836043" w:rsidP="00836043">
      <w:pPr>
        <w:pStyle w:val="FootnoteText"/>
        <w:spacing w:before="0" w:line="276" w:lineRule="auto"/>
        <w:rPr>
          <w:rFonts w:ascii="Times New Roman" w:eastAsiaTheme="majorEastAsia" w:hAnsi="Times New Roman"/>
          <w:sz w:val="24"/>
          <w:szCs w:val="24"/>
          <w:lang w:val="pt-BR" w:eastAsia="zh-TW"/>
        </w:rPr>
      </w:pPr>
      <w:r w:rsidRPr="00537AD5">
        <w:rPr>
          <w:rFonts w:ascii="Times New Roman" w:eastAsiaTheme="majorEastAsia" w:hAnsi="Times New Roman"/>
          <w:sz w:val="24"/>
          <w:szCs w:val="24"/>
          <w:lang w:val="pt-BR" w:eastAsia="zh-TW"/>
        </w:rPr>
        <w:t>6. Sa Tông Nguyên 沙宗元，《文字學術語規範研究》，安徽大學出版，合肥, 2008</w:t>
      </w:r>
    </w:p>
    <w:p w:rsidR="0074324B" w:rsidRPr="00836043" w:rsidRDefault="00836043">
      <w:pPr>
        <w:rPr>
          <w:lang w:val="pt-BR"/>
        </w:rPr>
      </w:pPr>
      <w:bookmarkStart w:id="0" w:name="_GoBack"/>
      <w:bookmarkEnd w:id="0"/>
    </w:p>
    <w:sectPr w:rsidR="0074324B" w:rsidRPr="00836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F5"/>
    <w:rsid w:val="002346F5"/>
    <w:rsid w:val="005A6D57"/>
    <w:rsid w:val="007D3409"/>
    <w:rsid w:val="00836043"/>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BD956-01D4-4CA3-A403-13D0812B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043"/>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836043"/>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836043"/>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836043"/>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836043"/>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2025-12-12T03:00:00Z</dcterms:created>
  <dcterms:modified xsi:type="dcterms:W3CDTF">2025-12-12T03:01:00Z</dcterms:modified>
</cp:coreProperties>
</file>